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tabs>
          <w:tab w:leader="none" w:pos="3960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05000000">
      <w:pPr>
        <w:tabs>
          <w:tab w:leader="none" w:pos="3960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06000000">
      <w:pPr>
        <w:pStyle w:val="Style_3"/>
        <w:tabs>
          <w:tab w:leader="none" w:pos="3960" w:val="left"/>
        </w:tabs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Существуют некоторые особенности обращения прокурора в арбитражные суды. Арбитражный процессуальный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кодекс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Российской Федерации (далее – АПК РФ) закрепляет статус прокурора как участника арбитражного судопроизводства наравне с другими, т.е. не наделяет его какими-либо особыми полномочиями и правами, таким образом, прокурор принимает участие в качестве заявителя в судах первой, апелляционной и кассационной инстанций. Обращение прокурора в суд должно быть мотивированным и иметь основания, предусмотренные законом, а именно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статьей 52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АПК РФ.</w:t>
      </w:r>
    </w:p>
    <w:p w14:paraId="07000000">
      <w:pPr>
        <w:pStyle w:val="Style_3"/>
        <w:tabs>
          <w:tab w:leader="none" w:pos="3960" w:val="left"/>
        </w:tabs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Главной и основной задачей при обращении в арбитражный суд прокурора должен быть вопрос о его компетенции. Необходимо разграничивать те вопросы, решение которых возможно исключительно путем обращения в судебные органы, и вопросы, в которых для восстановления законности могут быть применены меры прокурорского реагирования.</w:t>
      </w:r>
    </w:p>
    <w:p w14:paraId="08000000">
      <w:pPr>
        <w:pStyle w:val="Style_3"/>
        <w:tabs>
          <w:tab w:leader="none" w:pos="3960" w:val="left"/>
        </w:tabs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Особое внимание следует уделить принципу невмешательства органов прокуратуры в хозяйственную деятельность поднадзорных субъектов. Прокурор вправе оценивать законность деятельности органов государственной власти и местного самоуправления по отношению к тому или иному хозяйствующему субъекту, опротестовывать незаконные положения устава хозяйствующего субъекта или внутренних правовых актов, если они нарушают интересы конкретного гражданина или группы лиц, но при этом не вправе требовать </w:t>
      </w:r>
      <w:r>
        <w:br/>
      </w:r>
      <w:r>
        <w:rPr>
          <w:rFonts w:ascii="Times New Roman" w:hAnsi="Times New Roman"/>
          <w:b w:val="0"/>
          <w:sz w:val="28"/>
        </w:rPr>
        <w:t>от него совершать те или иные действия, напрямую не связанные с нарушением законности в конкретной сфере, например обязывать заключить договор с другим хозяйствующим субъектом или расторгнуть такой договор, совершить ту или иную финансовую операцию в интересах другого хозяйствующего субъекта, инициировать смену его руководства (за исключением случаев наличия решения суда о дисквалификации) и т.д.</w:t>
      </w:r>
    </w:p>
    <w:p w14:paraId="09000000">
      <w:pPr>
        <w:pStyle w:val="Style_3"/>
        <w:tabs>
          <w:tab w:leader="none" w:pos="3960" w:val="left"/>
        </w:tabs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Органы прокуратуры не должны подменять контролирующие органы, иными словами, осуществлять полномочия органов государственной власти и местного самоуправления, прямо закрепленных за ними федеральным законодательством. Прокурор не должен действовать вместо контролирующего органа, тем самым освобождая такой орган от ответственности перед государством и обществом.</w:t>
      </w:r>
    </w:p>
    <w:p w14:paraId="0A000000">
      <w:pPr>
        <w:pStyle w:val="Style_3"/>
        <w:tabs>
          <w:tab w:leader="none" w:pos="3960" w:val="left"/>
        </w:tabs>
        <w:spacing w:after="0" w:line="240" w:lineRule="auto"/>
        <w:ind w:firstLine="709" w:left="0"/>
        <w:jc w:val="both"/>
        <w:rPr>
          <w:b w:val="0"/>
        </w:rPr>
      </w:pPr>
      <w:r>
        <w:rPr>
          <w:rFonts w:ascii="Times New Roman" w:hAnsi="Times New Roman"/>
          <w:b w:val="0"/>
          <w:sz w:val="28"/>
        </w:rPr>
        <w:t>Иными словами, иск в суд может быть направлен в случае выявления явных нарушений закона, в том числе после проведения надзорных проверок, в случае бездействия указанных органов или действий, нарушающих законные права и интересы третьих лиц или государства</w:t>
      </w:r>
      <w:r>
        <w:rPr>
          <w:b w:val="0"/>
        </w:rPr>
        <w:t>.</w:t>
      </w:r>
    </w:p>
    <w:p w14:paraId="0B000000">
      <w:pPr>
        <w:tabs>
          <w:tab w:leader="none" w:pos="3960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Федеральным законом «О прокуратуре Российской Федерации» прокурор участвует в рассмотрении дел судами в случаях, предусмотренных процессуальным законодательством Российской Федерации и другими федеральными законами.</w:t>
      </w:r>
    </w:p>
    <w:p w14:paraId="0C000000">
      <w:pPr>
        <w:tabs>
          <w:tab w:leader="none" w:pos="3960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Процессуальные основания обращения прокурора в арбитражный суд определены АПК РФ, а также другими федеральными законами.</w:t>
      </w:r>
    </w:p>
    <w:p w14:paraId="0D000000">
      <w:pPr>
        <w:tabs>
          <w:tab w:leader="none" w:pos="3960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АПК РФ содержит перечень исков (заявлений), которые могут быть инициированы прокурором.</w:t>
      </w:r>
    </w:p>
    <w:p w14:paraId="0E000000">
      <w:pPr>
        <w:tabs>
          <w:tab w:leader="none" w:pos="3960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ним относятся:</w:t>
      </w:r>
    </w:p>
    <w:p w14:paraId="0F000000">
      <w:pPr>
        <w:pStyle w:val="Style_3"/>
        <w:tabs>
          <w:tab w:leader="none" w:pos="3960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 заявлениями об оспаривании нормативных правовых актов, ненормативных правовых актов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самоуправления, затрагивающих права и законные интересы организаций и граждан в сфере предпринимательской 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иной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экономической деятельности; </w:t>
      </w:r>
    </w:p>
    <w:p w14:paraId="10000000">
      <w:pPr>
        <w:pStyle w:val="Style_3"/>
        <w:tabs>
          <w:tab w:leader="none" w:pos="3960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</w:t>
      </w:r>
      <w:r>
        <w:rPr>
          <w:rFonts w:ascii="Times New Roman" w:hAnsi="Times New Roman"/>
          <w:sz w:val="28"/>
        </w:rPr>
        <w:t xml:space="preserve"> иском о признании недействительными сделок, совершенных органами государственной власти Российской Федерации, органами государственной власти субъектов Российской Федерации, органами местного самоуправления, государственными и муниципальными унитарными предприятиями, государственными учреждениями, а также юридическими лицами, в уставном капитале (фонде) которых есть доля участия Российской Федерации, доля участия субъектов Российской Федерации, доля участия муниципальных образований;</w:t>
      </w:r>
    </w:p>
    <w:p w14:paraId="11000000">
      <w:pPr>
        <w:pStyle w:val="Style_3"/>
        <w:tabs>
          <w:tab w:leader="none" w:pos="3960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с иском о применении последствий недействительности ничтожной сделки, совершенной органами государственной власти Российской Федерации, органами государственной власти субъектов Российской Федерации, органами местного самоуправления, государственными и муниципальными унитарными предприятиями, государственными учреждениями, а также юридическими лицами, в уставном капитале (фонде) которых есть доля участия Российской Федерации, доля участия субъектов Российской Федерации, доля участия муниципальных образований;</w:t>
      </w:r>
    </w:p>
    <w:p w14:paraId="12000000">
      <w:pPr>
        <w:pStyle w:val="Style_3"/>
        <w:tabs>
          <w:tab w:leader="none" w:pos="3960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с иском об истребовании государственного и муниципального имущества из чужого незаконного владения;</w:t>
      </w:r>
    </w:p>
    <w:p w14:paraId="13000000">
      <w:pPr>
        <w:pStyle w:val="Style_3"/>
        <w:tabs>
          <w:tab w:leader="none" w:pos="3960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с иском о признании недействительными сделок, совершенных с нарушением требований законодательства в сфере государственного оборонного заказа в том числе государственными заказчиками государственного оборонного заказа, головными исполнителями поставок продукции по государственному оборонному заказу и исполнителями, участвующими в поставках продукции по государственному оборонному заказу, не указанными 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абзацах третьем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четвертом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настоящей части, и о применении последствий недействительности таких сделок;</w:t>
      </w:r>
    </w:p>
    <w:p w14:paraId="14000000">
      <w:pPr>
        <w:pStyle w:val="Style_3"/>
        <w:tabs>
          <w:tab w:leader="none" w:pos="3960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с иском о признании недействительными сделок, совершенных с нарушением требований законодательства о контрактной системе в сфере закупок товаров, работ, услуг для обеспечения государственных и муниципальных нужд в том числе заказчиками, поставщиками (подрядчиками, исполнителями), субподрядчиками, соисполнителями, участвующими в обеспечении государственных и муниципальных нужд, не указанными 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абзацах третьем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четвертом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настоящей части, и о применении последствий недействительности таких сделок;</w:t>
      </w:r>
    </w:p>
    <w:p w14:paraId="15000000">
      <w:pPr>
        <w:pStyle w:val="Style_3"/>
        <w:tabs>
          <w:tab w:leader="none" w:pos="3960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с иском о возмещении ущерба, причиненного Российской Федерации, субъектам Российской Федерации и муниципальным образованиям в результате нарушения законодательства в сфере государственного оборонного заказа, а также законодательства о контрактной системе в сфере закупок товаров, работ, услуг для обеспечения государственных и муниципальных нужд;</w:t>
      </w:r>
    </w:p>
    <w:p w14:paraId="16000000">
      <w:pPr>
        <w:pStyle w:val="Style_3"/>
        <w:tabs>
          <w:tab w:leader="none" w:pos="3960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с иском о признании недействительными сделок, совершенных в целях уклонения от исполнения обязанностей и процедур, предусмотренных законодательством о противодействии легализации (отмыванию) доходов, полученных преступным путем, и финансированию терроризма, законодательством о налогах и сборах, валютным законодательством Российской Федерации, правом Евразийского экономического союза в сфере таможенных правоотношений и законодательством Российской Федерации о таможенном регулировании, и о применении последствий недействительности таких сделок;</w:t>
      </w:r>
    </w:p>
    <w:p w14:paraId="17000000">
      <w:pPr>
        <w:pStyle w:val="Style_3"/>
        <w:tabs>
          <w:tab w:leader="none" w:pos="3960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с иском о признании недействительными сделок, совершенных с нарушением законодательства, устанавливающего специальные экономические меры, меры воздействия (противодействия) на недружественные действия иностранных государств, и о применении последствий недействительности таких сделок.</w:t>
      </w:r>
    </w:p>
    <w:p w14:paraId="18000000">
      <w:pPr>
        <w:tabs>
          <w:tab w:leader="none" w:pos="3960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Помимо АПК РФ некоторые федеральные законы также содержат нормы о праве прокурора обратиться в арбитражный суд.</w:t>
      </w:r>
    </w:p>
    <w:p w14:paraId="19000000">
      <w:pPr>
        <w:pStyle w:val="Style_3"/>
        <w:tabs>
          <w:tab w:leader="none" w:pos="3960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 согласно статье 1253 Гражданского кодекса Российской Федерации, прокурор вправе обратиться в арбитражный суд с иском о ликвидации юридического лица в случае неоднократного или грубого нарушения исключительных прав на результаты интеллектуальной деятельности и на средства индивидуализации.</w:t>
      </w:r>
    </w:p>
    <w:p w14:paraId="1A000000">
      <w:pPr>
        <w:pStyle w:val="Style_3"/>
        <w:tabs>
          <w:tab w:leader="none" w:pos="3960" w:val="left"/>
        </w:tabs>
        <w:spacing w:after="0" w:line="240" w:lineRule="auto"/>
        <w:ind w:firstLine="709" w:left="0"/>
        <w:jc w:val="both"/>
        <w:rPr>
          <w:b w:val="0"/>
        </w:rPr>
      </w:pPr>
      <w:r>
        <w:rPr>
          <w:rFonts w:ascii="Times New Roman" w:hAnsi="Times New Roman"/>
          <w:b w:val="0"/>
          <w:sz w:val="28"/>
        </w:rPr>
        <w:t>Постановлением Пленума Высшего Арбитражного Суда Российской Федерации от 23.03.2012 № 15 «</w:t>
      </w:r>
      <w:r>
        <w:rPr>
          <w:rFonts w:ascii="Times New Roman" w:hAnsi="Times New Roman"/>
          <w:b w:val="0"/>
          <w:sz w:val="28"/>
        </w:rPr>
        <w:t>О некоторых вопросах участия прокурора в арбитражном процессе»</w:t>
      </w:r>
      <w:r>
        <w:rPr>
          <w:b w:val="0"/>
        </w:rPr>
        <w:t xml:space="preserve"> </w:t>
      </w:r>
      <w:r>
        <w:rPr>
          <w:rFonts w:ascii="Times New Roman" w:hAnsi="Times New Roman"/>
          <w:sz w:val="28"/>
        </w:rPr>
        <w:t xml:space="preserve">разъяснено, что прокурор вправе обратиться в арбитражный суд с требованием о сносе самовольной постройки в целях защиты публичных интересов. Например, прокурор вправе требовать сноса </w:t>
      </w:r>
      <w:r>
        <w:rPr>
          <w:rFonts w:ascii="Times New Roman" w:hAnsi="Times New Roman"/>
          <w:sz w:val="28"/>
        </w:rPr>
        <w:t>самовольной постройки, сохранение которой создает угрозу жизни и здоровью граждан, причинения вреда окружающей среде.</w:t>
      </w:r>
    </w:p>
    <w:p w14:paraId="1B000000">
      <w:pPr>
        <w:tabs>
          <w:tab w:leader="none" w:pos="3960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предъявлении иска прокурор освобожден от уплаты государственной пошлины, не обязан соблюдать досудебный порядок урегулирования спора, обязательный для других участников арбитражного процесса.</w:t>
      </w:r>
    </w:p>
    <w:p w14:paraId="1C000000">
      <w:pPr>
        <w:tabs>
          <w:tab w:leader="none" w:pos="3960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Федеральным законом «О прокуратуре Российской Федерации» и Кодексом об административных правонарушениях </w:t>
      </w:r>
      <w:r>
        <w:rPr>
          <w:rFonts w:ascii="Times New Roman" w:hAnsi="Times New Roman"/>
          <w:sz w:val="28"/>
        </w:rPr>
        <w:t>Российской Федерации</w:t>
      </w:r>
      <w:r>
        <w:rPr>
          <w:rFonts w:ascii="Times New Roman" w:hAnsi="Times New Roman"/>
          <w:sz w:val="28"/>
        </w:rPr>
        <w:t xml:space="preserve"> прокурор в пределах своих полномочий вправе при осуществлении надзора за исполнением законов возбудить дело о любом административном правонарушении, в том числе, подведомственное арбитражному суду. В таком случае прокурор направляет в арбитражный суд заявление о привлечении к административной ответственности по месту нахождения или по месту жительства лица, в отношении которого вынесено постановление о возбуждении дела об административном правонарушении.</w:t>
      </w:r>
    </w:p>
    <w:p w14:paraId="1D000000">
      <w:pPr>
        <w:tabs>
          <w:tab w:leader="none" w:pos="3960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 правило, арбитражный суд рассматривает дела об административных правонарушениях, совершенных юридическими лицами и индивидуальными предпринимателями в связи с осуществлением предпринимательской деятельности. В отдельных случаях к компетенции арбитражного суда отнесено рассмотрение дел о привлечении к административной ответственности руководителей организаций. Арбитражный суд рассматривает также дела об административных правонарушениях, совершенных арбитражными управляющими.</w:t>
      </w:r>
    </w:p>
    <w:sectPr>
      <w:headerReference r:id="rId2" w:type="default"/>
      <w:footerReference r:id="rId1" w:type="first"/>
      <w:pgSz w:h="16838" w:orient="portrait" w:w="11906"/>
      <w:pgMar w:bottom="1134" w:footer="709" w:gutter="0" w:header="709" w:left="1418" w:right="680" w:top="993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spacing w:after="60"/>
      <w:ind/>
    </w:pPr>
  </w:p>
</w:ft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ind/>
      <w:jc w:val="cen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  <w:p w14:paraId="03000000">
    <w:pPr>
      <w:pStyle w:val="Style_2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1" w:type="paragraph">
    <w:name w:val="footer"/>
    <w:basedOn w:val="Style_3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footer"/>
    <w:basedOn w:val="Style_3_ch"/>
    <w:link w:val="Style_1"/>
  </w:style>
  <w:style w:styleId="Style_6" w:type="paragraph">
    <w:name w:val="toc 6"/>
    <w:next w:val="Style_3"/>
    <w:link w:val="Style_6_ch"/>
    <w:uiPriority w:val="39"/>
    <w:pPr>
      <w:ind w:firstLine="0" w:left="1000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</w:rPr>
  </w:style>
  <w:style w:styleId="Style_8_ch" w:type="character">
    <w:name w:val="Endnote"/>
    <w:link w:val="Style_8"/>
    <w:rPr>
      <w:rFonts w:ascii="XO Thames" w:hAnsi="XO Thames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Гиперссылка1"/>
    <w:link w:val="Style_10_ch"/>
    <w:rPr>
      <w:color w:val="0000FF"/>
      <w:u w:val="single"/>
    </w:rPr>
  </w:style>
  <w:style w:styleId="Style_10_ch" w:type="character">
    <w:name w:val="Гиперссылка1"/>
    <w:link w:val="Style_10"/>
    <w:rPr>
      <w:color w:val="0000FF"/>
      <w:u w:val="single"/>
    </w:rPr>
  </w:style>
  <w:style w:styleId="Style_11" w:type="paragraph">
    <w:name w:val="Заголовок 5 Знак"/>
    <w:link w:val="Style_11_ch"/>
    <w:rPr>
      <w:rFonts w:ascii="XO Thames" w:hAnsi="XO Thames"/>
      <w:b w:val="1"/>
      <w:sz w:val="22"/>
    </w:rPr>
  </w:style>
  <w:style w:styleId="Style_11_ch" w:type="character">
    <w:name w:val="Заголовок 5 Знак"/>
    <w:link w:val="Style_11"/>
    <w:rPr>
      <w:rFonts w:ascii="XO Thames" w:hAnsi="XO Thames"/>
      <w:b w:val="1"/>
      <w:sz w:val="22"/>
    </w:rPr>
  </w:style>
  <w:style w:styleId="Style_2" w:type="paragraph">
    <w:name w:val="header"/>
    <w:basedOn w:val="Style_3"/>
    <w:link w:val="Style_2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_ch" w:type="character">
    <w:name w:val="header"/>
    <w:basedOn w:val="Style_3_ch"/>
    <w:link w:val="Style_2"/>
  </w:style>
  <w:style w:styleId="Style_12" w:type="paragraph">
    <w:name w:val="toc 3"/>
    <w:next w:val="Style_3"/>
    <w:link w:val="Style_12_ch"/>
    <w:uiPriority w:val="39"/>
    <w:pPr>
      <w:ind w:firstLine="0" w:left="400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heading 5"/>
    <w:next w:val="Style_3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4_ch" w:type="character">
    <w:name w:val="heading 5"/>
    <w:link w:val="Style_14"/>
    <w:rPr>
      <w:rFonts w:ascii="XO Thames" w:hAnsi="XO Thames"/>
      <w:b w:val="1"/>
    </w:rPr>
  </w:style>
  <w:style w:styleId="Style_15" w:type="paragraph">
    <w:name w:val="heading 1"/>
    <w:next w:val="Style_3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No Spacing"/>
    <w:link w:val="Style_16_ch"/>
    <w:pPr>
      <w:spacing w:after="0" w:line="240" w:lineRule="auto"/>
      <w:ind/>
    </w:pPr>
  </w:style>
  <w:style w:styleId="Style_16_ch" w:type="character">
    <w:name w:val="No Spacing"/>
    <w:link w:val="Style_16"/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basedOn w:val="Style_3"/>
    <w:link w:val="Style_18_ch"/>
    <w:pPr>
      <w:spacing w:after="0" w:line="240" w:lineRule="auto"/>
      <w:ind/>
    </w:pPr>
    <w:rPr>
      <w:sz w:val="20"/>
    </w:rPr>
  </w:style>
  <w:style w:styleId="Style_18_ch" w:type="character">
    <w:name w:val="Footnote"/>
    <w:basedOn w:val="Style_3_ch"/>
    <w:link w:val="Style_18"/>
    <w:rPr>
      <w:sz w:val="20"/>
    </w:rPr>
  </w:style>
  <w:style w:styleId="Style_19" w:type="paragraph">
    <w:name w:val="Balloon Text"/>
    <w:basedOn w:val="Style_3"/>
    <w:link w:val="Style_19_ch"/>
    <w:pPr>
      <w:spacing w:after="0" w:line="240" w:lineRule="auto"/>
      <w:ind/>
    </w:pPr>
    <w:rPr>
      <w:rFonts w:ascii="Segoe UI" w:hAnsi="Segoe UI"/>
      <w:sz w:val="18"/>
    </w:rPr>
  </w:style>
  <w:style w:styleId="Style_19_ch" w:type="character">
    <w:name w:val="Balloon Text"/>
    <w:basedOn w:val="Style_3_ch"/>
    <w:link w:val="Style_19"/>
    <w:rPr>
      <w:rFonts w:ascii="Segoe UI" w:hAnsi="Segoe UI"/>
      <w:sz w:val="18"/>
    </w:rPr>
  </w:style>
  <w:style w:styleId="Style_20" w:type="paragraph">
    <w:name w:val="Основной шрифт абзаца1"/>
    <w:link w:val="Style_20_ch"/>
  </w:style>
  <w:style w:styleId="Style_20_ch" w:type="character">
    <w:name w:val="Основной шрифт абзаца1"/>
    <w:link w:val="Style_20"/>
  </w:style>
  <w:style w:styleId="Style_21" w:type="paragraph">
    <w:name w:val="toc 1"/>
    <w:next w:val="Style_3"/>
    <w:link w:val="Style_21_ch"/>
    <w:uiPriority w:val="39"/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3"/>
    <w:link w:val="Style_23_ch"/>
    <w:uiPriority w:val="39"/>
    <w:pPr>
      <w:ind w:firstLine="0" w:left="1600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3"/>
    <w:link w:val="Style_24_ch"/>
    <w:uiPriority w:val="39"/>
    <w:pPr>
      <w:ind w:firstLine="0" w:left="1400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Знак сноски1"/>
    <w:basedOn w:val="Style_20"/>
    <w:link w:val="Style_25_ch"/>
    <w:rPr>
      <w:vertAlign w:val="superscript"/>
    </w:rPr>
  </w:style>
  <w:style w:styleId="Style_25_ch" w:type="character">
    <w:name w:val="Знак сноски1"/>
    <w:basedOn w:val="Style_20_ch"/>
    <w:link w:val="Style_25"/>
    <w:rPr>
      <w:vertAlign w:val="superscript"/>
    </w:rPr>
  </w:style>
  <w:style w:styleId="Style_26" w:type="paragraph">
    <w:name w:val="Обычный1"/>
    <w:link w:val="Style_26_ch"/>
  </w:style>
  <w:style w:styleId="Style_26_ch" w:type="character">
    <w:name w:val="Обычный1"/>
    <w:link w:val="Style_26"/>
  </w:style>
  <w:style w:styleId="Style_27" w:type="paragraph">
    <w:name w:val="toc 5"/>
    <w:next w:val="Style_3"/>
    <w:link w:val="Style_27_ch"/>
    <w:uiPriority w:val="39"/>
    <w:pPr>
      <w:ind w:firstLine="0" w:left="800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Subtitle"/>
    <w:next w:val="Style_3"/>
    <w:link w:val="Style_2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29" w:type="paragraph">
    <w:name w:val="Title"/>
    <w:next w:val="Style_3"/>
    <w:link w:val="Style_2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9_ch" w:type="character">
    <w:name w:val="Title"/>
    <w:link w:val="Style_29"/>
    <w:rPr>
      <w:rFonts w:ascii="XO Thames" w:hAnsi="XO Thames"/>
      <w:b w:val="1"/>
      <w:caps w:val="1"/>
      <w:sz w:val="40"/>
    </w:rPr>
  </w:style>
  <w:style w:styleId="Style_30" w:type="paragraph">
    <w:name w:val="heading 4"/>
    <w:next w:val="Style_3"/>
    <w:link w:val="Style_3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heading 2"/>
    <w:next w:val="Style_3"/>
    <w:link w:val="Style_3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_ch" w:type="character">
    <w:name w:val="heading 2"/>
    <w:link w:val="Style_31"/>
    <w:rPr>
      <w:rFonts w:ascii="XO Thames" w:hAnsi="XO Thames"/>
      <w:b w:val="1"/>
      <w:sz w:val="28"/>
    </w:rPr>
  </w:style>
  <w:style w:styleId="Style_32" w:type="table">
    <w:name w:val="Table Grid"/>
    <w:basedOn w:val="Style_33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footer1.xml" Type="http://schemas.openxmlformats.org/officeDocument/2006/relationships/footer"/>
  <Relationship Id="rId2" Target="header2.xml" Type="http://schemas.openxmlformats.org/officeDocument/2006/relationships/head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2025-11-19T13:58:58Z</dcterms:modified>
</cp:coreProperties>
</file>